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ff0000"/>
          <w:sz w:val="40"/>
          <w:szCs w:val="40"/>
          <w:rtl w:val="0"/>
        </w:rPr>
        <w:t xml:space="preserve">DOCUMENT INCOMPLETE - As of 8.00am on 8th DEC 2016. Please complete by 10 am on 8th Dec 2016. …….By order from The Principal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PERIOD-DECEMBER  1ST TO DECEMBER 31ST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46.818181818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985.4545454545453"/>
        <w:gridCol w:w="1985.4545454545453"/>
        <w:gridCol w:w="1110.9090909090908"/>
        <w:gridCol w:w="1305"/>
        <w:gridCol w:w="1140"/>
        <w:gridCol w:w="1229.090909090909"/>
        <w:tblGridChange w:id="0">
          <w:tblGrid>
            <w:gridCol w:w="590.9090909090909"/>
            <w:gridCol w:w="1985.4545454545453"/>
            <w:gridCol w:w="1985.4545454545453"/>
            <w:gridCol w:w="1110.9090909090908"/>
            <w:gridCol w:w="1305"/>
            <w:gridCol w:w="114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Dr.Muneeruddin Ahmmed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Professor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01-12-2016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Anatomy of Middle year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Assessment of hearing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15-12-2016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CSOM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Dr.Hanish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02-12-2016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Pathology of paranasal sinuses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Anatomy and Physiology of nasal cavity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